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17FE">
      <w:pPr>
        <w:pStyle w:val="Corpodetexto"/>
      </w:pPr>
      <w:bookmarkStart w:id="0" w:name="_GoBack"/>
      <w:bookmarkEnd w:id="0"/>
      <w:r>
        <w:t>APRESENTAÇÃO DE DOCUMENTOS DIGITALIZADOS PARA FORMAÇÃO DE PROTOCOLO NO GMAB PARA CANCELAMENTO DE DMCA</w:t>
      </w:r>
    </w:p>
    <w:p w:rsidR="00000000" w:rsidRDefault="00F617FE">
      <w:pPr>
        <w:jc w:val="both"/>
        <w:rPr>
          <w:rFonts w:ascii="Arial" w:hAnsi="Arial" w:cs="Arial"/>
          <w:sz w:val="20"/>
        </w:rPr>
      </w:pPr>
    </w:p>
    <w:p w:rsidR="00000000" w:rsidRDefault="00F617FE">
      <w:pPr>
        <w:pStyle w:val="Ttulo1"/>
        <w:rPr>
          <w:sz w:val="20"/>
          <w:u w:val="single"/>
        </w:rPr>
      </w:pPr>
      <w:r>
        <w:rPr>
          <w:sz w:val="20"/>
          <w:u w:val="single"/>
        </w:rPr>
        <w:t>PROCEDIMENTOS</w:t>
      </w:r>
    </w:p>
    <w:p w:rsidR="00000000" w:rsidRDefault="00F617FE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DIGITALIZAR OS DOCUMENTOS NO FORMATO PORTABLE DOCUMENT FORMAT – PDF, COM RESOLUÇÃO DE </w:t>
      </w:r>
      <w:r>
        <w:rPr>
          <w:rFonts w:ascii="Arial" w:hAnsi="Arial" w:cs="Arial"/>
          <w:b/>
          <w:bCs/>
          <w:sz w:val="20"/>
        </w:rPr>
        <w:t>300 DPI</w:t>
      </w:r>
      <w:r>
        <w:rPr>
          <w:rFonts w:ascii="Arial" w:hAnsi="Arial" w:cs="Arial"/>
          <w:sz w:val="20"/>
        </w:rPr>
        <w:t xml:space="preserve">,   </w:t>
      </w:r>
      <w:r>
        <w:rPr>
          <w:rFonts w:ascii="Arial" w:hAnsi="Arial" w:cs="Arial"/>
          <w:b/>
          <w:bCs/>
          <w:sz w:val="20"/>
        </w:rPr>
        <w:t>EM PRETO E BRANCO</w:t>
      </w:r>
      <w:r>
        <w:rPr>
          <w:rFonts w:ascii="Arial" w:hAnsi="Arial" w:cs="Arial"/>
          <w:sz w:val="20"/>
        </w:rPr>
        <w:t>, OBSERVADA A SEQUÊNCIA A</w:t>
      </w:r>
      <w:r>
        <w:rPr>
          <w:rFonts w:ascii="Arial" w:hAnsi="Arial" w:cs="Arial"/>
          <w:sz w:val="20"/>
        </w:rPr>
        <w:t>BAIXO: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FORMULÁRIO DE SOLICITAÇÃO, CONFORME NOVO MODELO DO GMAB;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EXTRATO DO MANTRA;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VIA ORIGINAL DO CONSIGNATÁRIO (“ORIGINAL 2”) DO CONHECIMENTO DE CARGA, OU VIA CONVALIDADA PELA EQMAN, EM CASO DE EXTRAVIO;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CARTA DE CORREÇÃO DEFERIDA PELA EQMAN, EM SENDO O </w:t>
      </w:r>
      <w:r>
        <w:rPr>
          <w:rFonts w:ascii="Arial" w:hAnsi="Arial" w:cs="Arial"/>
          <w:sz w:val="20"/>
        </w:rPr>
        <w:t>CASO;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FATURA COMERCIAL, EM SENDO O CASO;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“PACKING LIST”, EM SENDO O CASO;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DOCUMENTO DO(S) SIGNATÁRIO(S) DA SOLICITAÇÃO, CONTENDO FOTO E ASSINATURA;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PROCURAÇÃO (*);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DOCUMENTOS QUE COMPROVEM PODERES DO(S) SIGNATÁRIO(S) DA PROCURAÇÃO PARA NOMEAÇÃO DE MANDATÁR</w:t>
      </w:r>
      <w:r>
        <w:rPr>
          <w:rFonts w:ascii="Arial" w:hAnsi="Arial" w:cs="Arial"/>
          <w:sz w:val="20"/>
        </w:rPr>
        <w:t>IOS EM NOME DO INTERESSADO (CONTRATO SOCIAL OU ESTATUTO SOCIAL, ATA DE NOMEAÇÃO DOS ADMINISTRADORES, ETC.), QUANDO APRESENTADA PROCURAÇÃO PARTICULAR (*); E</w:t>
      </w:r>
    </w:p>
    <w:p w:rsidR="00000000" w:rsidRDefault="00F617FE">
      <w:pPr>
        <w:numPr>
          <w:ilvl w:val="3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OUTROS, NECESSÁRIOS À COMPROVAÇÃO DO ATENDIMENTO ÀS CONDIÇÕES ESTABELECIDAS PELO ART. 809 DE DECRETO</w:t>
      </w:r>
      <w:r>
        <w:rPr>
          <w:rFonts w:ascii="Arial" w:hAnsi="Arial" w:cs="Arial"/>
          <w:sz w:val="20"/>
        </w:rPr>
        <w:t xml:space="preserve"> Nº 6759/2009 E ALTERAÇÕES (*). </w:t>
      </w:r>
    </w:p>
    <w:p w:rsidR="00000000" w:rsidRDefault="00F617FE">
      <w:pPr>
        <w:ind w:left="454"/>
        <w:jc w:val="both"/>
        <w:rPr>
          <w:rFonts w:ascii="Arial" w:hAnsi="Arial" w:cs="Arial"/>
          <w:sz w:val="20"/>
        </w:rPr>
      </w:pPr>
    </w:p>
    <w:p w:rsidR="00000000" w:rsidRDefault="00F617FE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 DOCUMENTOS ACIMA DEVEM SER ENTREGUES EM DISPOSITIVO MÓVEL DE ARMAZENAMENTO, GRAVADOS EM ARQUIVO ÚNICO. </w:t>
      </w:r>
    </w:p>
    <w:p w:rsidR="00000000" w:rsidRDefault="00F617FE">
      <w:pPr>
        <w:jc w:val="both"/>
        <w:rPr>
          <w:rFonts w:ascii="Arial" w:hAnsi="Arial" w:cs="Arial"/>
          <w:sz w:val="20"/>
        </w:rPr>
      </w:pPr>
    </w:p>
    <w:p w:rsidR="00000000" w:rsidRDefault="00F617FE">
      <w:pPr>
        <w:ind w:left="45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OBS.</w:t>
      </w:r>
      <w:r>
        <w:rPr>
          <w:rFonts w:ascii="Arial" w:hAnsi="Arial" w:cs="Arial"/>
          <w:sz w:val="20"/>
        </w:rPr>
        <w:t xml:space="preserve"> O DISPOSITIVO MÓVEL DE ARMAZENAMENTO NÃO PODE CONTER OUTROS ARQUIVOS ALÉM DAQUELE(S) GERADO(S) COM OS DOCUMEN</w:t>
      </w:r>
      <w:r>
        <w:rPr>
          <w:rFonts w:ascii="Arial" w:hAnsi="Arial" w:cs="Arial"/>
          <w:sz w:val="20"/>
        </w:rPr>
        <w:t xml:space="preserve">TOS DE QUE TRATA O ITEM 1 ACIMA. GERAR MAIS DE UM ARQUIVO QUANDO O TAMANHO DESTE FOR SUPERIOR A 15 MB. </w:t>
      </w:r>
    </w:p>
    <w:p w:rsidR="00000000" w:rsidRDefault="00F617FE">
      <w:pPr>
        <w:ind w:left="454"/>
        <w:jc w:val="both"/>
        <w:rPr>
          <w:rFonts w:ascii="Arial" w:hAnsi="Arial" w:cs="Arial"/>
          <w:sz w:val="20"/>
        </w:rPr>
      </w:pPr>
    </w:p>
    <w:p w:rsidR="00000000" w:rsidRDefault="00F617FE">
      <w:pPr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APRESENTAR NO </w:t>
      </w:r>
      <w:r>
        <w:rPr>
          <w:rFonts w:ascii="Arial" w:hAnsi="Arial" w:cs="Arial"/>
          <w:b/>
          <w:bCs/>
          <w:sz w:val="20"/>
        </w:rPr>
        <w:t>GMAB</w:t>
      </w:r>
      <w:r>
        <w:rPr>
          <w:rFonts w:ascii="Arial" w:hAnsi="Arial" w:cs="Arial"/>
          <w:sz w:val="20"/>
        </w:rPr>
        <w:t>:</w:t>
      </w:r>
    </w:p>
    <w:p w:rsidR="00000000" w:rsidRDefault="00F617FE">
      <w:pPr>
        <w:numPr>
          <w:ilvl w:val="1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FORMULÁRIO DE SOLICITAÇÃO, EM DUAS VIAS, SENDO A PRIMEIRA DESTINADA AO GMAB E, A SEGUNDA, DEVOLVIDA AO INTERESSADO APÓS PROTOCOLIZA</w:t>
      </w:r>
      <w:r>
        <w:rPr>
          <w:rFonts w:ascii="Arial" w:hAnsi="Arial" w:cs="Arial"/>
          <w:sz w:val="20"/>
        </w:rPr>
        <w:t>ÇÃO;</w:t>
      </w:r>
    </w:p>
    <w:p w:rsidR="00000000" w:rsidRDefault="00F617FE">
      <w:pPr>
        <w:numPr>
          <w:ilvl w:val="1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EXTRATO DO MANTRA COM INFORMAÇÃO DA ABV DE INEXISTÊNCIA DE TO/TG; E</w:t>
      </w:r>
    </w:p>
    <w:p w:rsidR="00000000" w:rsidRDefault="00F617FE">
      <w:pPr>
        <w:numPr>
          <w:ilvl w:val="1"/>
          <w:numId w:val="1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AS MATRIZES DOS DOCUMENTOS UTILIZADOS PARA FORMAÇÃO DO ARQUIVO DIGITAL, QUE SERÃO DEVOLVIDAS JUNTAMENTE COM A SEGUNDA VIA DO FORMULÁRIO DE SOLICITAÇÃO. </w:t>
      </w:r>
    </w:p>
    <w:p w:rsidR="00000000" w:rsidRDefault="00F617FE">
      <w:pPr>
        <w:jc w:val="both"/>
        <w:rPr>
          <w:rFonts w:ascii="Arial" w:hAnsi="Arial" w:cs="Arial"/>
          <w:sz w:val="20"/>
        </w:rPr>
      </w:pPr>
    </w:p>
    <w:p w:rsidR="00000000" w:rsidRDefault="00F617FE">
      <w:pPr>
        <w:pStyle w:val="Corpodetexto2"/>
        <w:rPr>
          <w:rFonts w:ascii="Arial" w:hAnsi="Arial" w:cs="Arial"/>
        </w:rPr>
      </w:pPr>
      <w:r>
        <w:rPr>
          <w:rFonts w:ascii="Arial" w:hAnsi="Arial" w:cs="Arial"/>
        </w:rPr>
        <w:t>(*) Fica dispensada a apresen</w:t>
      </w:r>
      <w:r>
        <w:rPr>
          <w:rFonts w:ascii="Arial" w:hAnsi="Arial" w:cs="Arial"/>
        </w:rPr>
        <w:t>tação da procuração e dos documentos que comprovem os  poderes do(s) signatário(s) da mesma, quando a solicitação for assinada por pessoa cadastrada como representante legal do interessado no Siscomex, sem prejuízo da comprovação do atendimento às condiçõe</w:t>
      </w:r>
      <w:r>
        <w:rPr>
          <w:rFonts w:ascii="Arial" w:hAnsi="Arial" w:cs="Arial"/>
        </w:rPr>
        <w:t>s estabelecidas pelo art. 809 do Decreto nº 6759/2009 e alterações.</w:t>
      </w:r>
    </w:p>
    <w:p w:rsidR="00000000" w:rsidRDefault="00F617FE">
      <w:pPr>
        <w:rPr>
          <w:rFonts w:ascii="Arial" w:hAnsi="Arial" w:cs="Arial"/>
          <w:sz w:val="22"/>
        </w:rPr>
      </w:pPr>
    </w:p>
    <w:p w:rsidR="00000000" w:rsidRDefault="00F617FE">
      <w:pPr>
        <w:pStyle w:val="Ttulo5"/>
      </w:pPr>
      <w:r>
        <w:t>Decreto 6759/2009</w:t>
      </w:r>
    </w:p>
    <w:p w:rsidR="00000000" w:rsidRDefault="00F617FE">
      <w:pPr>
        <w:pStyle w:val="Ttulo5"/>
        <w:rPr>
          <w:sz w:val="20"/>
          <w:u w:val="none"/>
        </w:rPr>
      </w:pPr>
      <w:r>
        <w:rPr>
          <w:sz w:val="20"/>
          <w:u w:val="none"/>
        </w:rPr>
        <w:t>Art. 809. Poderá representar o importador, o exportador ou outro interessado, no exercício das atividades referidas no art. 808, bem assim em outras operações de comérci</w:t>
      </w:r>
      <w:r>
        <w:rPr>
          <w:sz w:val="20"/>
          <w:u w:val="none"/>
        </w:rPr>
        <w:t>o exterior:</w:t>
      </w:r>
    </w:p>
    <w:p w:rsidR="00000000" w:rsidRDefault="00F617FE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I - o dirigente ou empregado com vínculo empregatício exclusivo com o interessado, munido de mandato </w:t>
      </w:r>
      <w:r>
        <w:rPr>
          <w:rFonts w:ascii="Arial" w:hAnsi="Arial" w:cs="Arial"/>
          <w:color w:val="000000"/>
          <w:sz w:val="20"/>
        </w:rPr>
        <w:t>que lhe outorgue plenos poderes para o mister, sem cláusulas excludentes da responsabilidade do outorgante mediante ato ou omissão do outorgado</w:t>
      </w:r>
      <w:r>
        <w:rPr>
          <w:rFonts w:ascii="Arial" w:hAnsi="Arial" w:cs="Arial"/>
          <w:color w:val="000000"/>
          <w:sz w:val="20"/>
        </w:rPr>
        <w:t>, no caso de operações efetuadas por pessoas jurídicas de direito privado;</w:t>
      </w:r>
    </w:p>
    <w:p w:rsidR="00000000" w:rsidRDefault="00F617FE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II - o </w:t>
      </w:r>
      <w:r>
        <w:rPr>
          <w:rFonts w:ascii="Arial" w:hAnsi="Arial" w:cs="Arial"/>
          <w:color w:val="000000"/>
          <w:sz w:val="20"/>
        </w:rPr>
        <w:t>funcionário ou servidor, especialmente designado, no caso de operações efetuadas por órgão da administração pública direta ou autárquica, federal, estadual ou municipal, miss</w:t>
      </w:r>
      <w:r>
        <w:rPr>
          <w:rFonts w:ascii="Arial" w:hAnsi="Arial" w:cs="Arial"/>
          <w:color w:val="000000"/>
          <w:sz w:val="20"/>
        </w:rPr>
        <w:t>ão diplomática ou repartição consular de país estrangeiro ou representação de órgãos internacionais;</w:t>
      </w:r>
    </w:p>
    <w:p w:rsidR="00000000" w:rsidRDefault="00F617FE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II-A – o </w:t>
      </w:r>
      <w:r>
        <w:rPr>
          <w:rFonts w:ascii="Arial" w:hAnsi="Arial" w:cs="Arial"/>
          <w:color w:val="000000"/>
          <w:sz w:val="20"/>
        </w:rPr>
        <w:t xml:space="preserve">empresário, o sócio da sociedade empresária ou pessoa física nomeada pelo habilitado, nos casos de importações ao amparo do regime de que trata o </w:t>
      </w:r>
      <w:r>
        <w:rPr>
          <w:rFonts w:ascii="Arial" w:hAnsi="Arial" w:cs="Arial"/>
          <w:color w:val="000000"/>
          <w:sz w:val="20"/>
        </w:rPr>
        <w:t>art. 102-A;</w:t>
      </w:r>
    </w:p>
    <w:p w:rsidR="00000000" w:rsidRDefault="00F617F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III – o próprio interessado, no caso de operações efetuadas por pessoas físicas;</w:t>
      </w:r>
    </w:p>
    <w:p w:rsidR="00000000" w:rsidRDefault="00F617FE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 xml:space="preserve">III-A – </w:t>
      </w:r>
      <w:r>
        <w:rPr>
          <w:rFonts w:ascii="Arial" w:hAnsi="Arial" w:cs="Arial"/>
          <w:color w:val="000000"/>
          <w:sz w:val="20"/>
        </w:rPr>
        <w:t>o mandatário de pessoa física residente no País, nos casos de remessa postal internacional, ou bens de viajante; e</w:t>
      </w:r>
    </w:p>
    <w:p w:rsidR="00F26405" w:rsidRDefault="00F617F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IV - o despachante aduaneiro, em qualque</w:t>
      </w:r>
      <w:r>
        <w:rPr>
          <w:rFonts w:ascii="Arial" w:hAnsi="Arial" w:cs="Arial"/>
          <w:sz w:val="20"/>
        </w:rPr>
        <w:t>r caso.</w:t>
      </w:r>
    </w:p>
    <w:sectPr w:rsidR="00F26405">
      <w:footerReference w:type="default" r:id="rId8"/>
      <w:pgSz w:w="12240" w:h="15840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7FE" w:rsidRDefault="00F617FE">
      <w:r>
        <w:separator/>
      </w:r>
    </w:p>
  </w:endnote>
  <w:endnote w:type="continuationSeparator" w:id="0">
    <w:p w:rsidR="00F617FE" w:rsidRDefault="00F61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617FE">
    <w:pPr>
      <w:pStyle w:val="Rodap"/>
      <w:rPr>
        <w:sz w:val="16"/>
      </w:rPr>
    </w:pPr>
    <w:r>
      <w:rPr>
        <w:sz w:val="16"/>
      </w:rPr>
      <w:t>Versão 1/2017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7FE" w:rsidRDefault="00F617FE">
      <w:r>
        <w:separator/>
      </w:r>
    </w:p>
  </w:footnote>
  <w:footnote w:type="continuationSeparator" w:id="0">
    <w:p w:rsidR="00F617FE" w:rsidRDefault="00F61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1A60"/>
    <w:multiLevelType w:val="hybridMultilevel"/>
    <w:tmpl w:val="16341C8C"/>
    <w:lvl w:ilvl="0" w:tplc="BF300A3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B75041"/>
    <w:multiLevelType w:val="hybridMultilevel"/>
    <w:tmpl w:val="81B6BE92"/>
    <w:lvl w:ilvl="0" w:tplc="DF3ED4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C10AC"/>
    <w:multiLevelType w:val="hybridMultilevel"/>
    <w:tmpl w:val="16341C8C"/>
    <w:lvl w:ilvl="0" w:tplc="0A0A6648">
      <w:start w:val="4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D46D11"/>
    <w:multiLevelType w:val="hybridMultilevel"/>
    <w:tmpl w:val="9BDE1708"/>
    <w:lvl w:ilvl="0" w:tplc="B1849FF4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DFFC4BCA">
      <w:start w:val="1"/>
      <w:numFmt w:val="bullet"/>
      <w:lvlText w:val=""/>
      <w:lvlJc w:val="left"/>
      <w:pPr>
        <w:tabs>
          <w:tab w:val="num" w:pos="814"/>
        </w:tabs>
        <w:ind w:left="794" w:hanging="340"/>
      </w:pPr>
      <w:rPr>
        <w:rFonts w:ascii="Symbol" w:hAnsi="Symbol"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981324">
      <w:start w:val="1"/>
      <w:numFmt w:val="bullet"/>
      <w:lvlText w:val=""/>
      <w:lvlJc w:val="left"/>
      <w:pPr>
        <w:tabs>
          <w:tab w:val="num" w:pos="908"/>
        </w:tabs>
        <w:ind w:left="908" w:hanging="454"/>
      </w:pPr>
      <w:rPr>
        <w:rFonts w:ascii="Symbol" w:hAnsi="Symbo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997110"/>
    <w:multiLevelType w:val="hybridMultilevel"/>
    <w:tmpl w:val="9BDE1708"/>
    <w:lvl w:ilvl="0" w:tplc="B1849FF4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DFFC4BCA">
      <w:start w:val="1"/>
      <w:numFmt w:val="bullet"/>
      <w:lvlText w:val=""/>
      <w:lvlJc w:val="left"/>
      <w:pPr>
        <w:tabs>
          <w:tab w:val="num" w:pos="814"/>
        </w:tabs>
        <w:ind w:left="794" w:hanging="340"/>
      </w:pPr>
      <w:rPr>
        <w:rFonts w:ascii="Symbol" w:hAnsi="Symbol"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263B00">
      <w:start w:val="1"/>
      <w:numFmt w:val="lowerLetter"/>
      <w:lvlText w:val="%4)"/>
      <w:lvlJc w:val="left"/>
      <w:pPr>
        <w:tabs>
          <w:tab w:val="num" w:pos="814"/>
        </w:tabs>
        <w:ind w:left="737" w:hanging="283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05"/>
    <w:rsid w:val="00F26405"/>
    <w:rsid w:val="00F6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2"/>
      <w:u w:val="single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sz w:val="22"/>
      <w:u w:val="single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">
    <w:name w:val="Body Text"/>
    <w:basedOn w:val="Normal"/>
    <w:semiHidden/>
    <w:pPr>
      <w:jc w:val="both"/>
    </w:pPr>
    <w:rPr>
      <w:rFonts w:ascii="Arial" w:hAnsi="Arial" w:cs="Arial"/>
      <w:b/>
      <w:bCs/>
    </w:rPr>
  </w:style>
  <w:style w:type="paragraph" w:styleId="Corpodetexto2">
    <w:name w:val="Body Text 2"/>
    <w:basedOn w:val="Normal"/>
    <w:semiHidden/>
    <w:pPr>
      <w:jc w:val="both"/>
    </w:pPr>
    <w:rPr>
      <w:sz w:val="22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 w:cs="Arial"/>
      <w:b/>
      <w:bCs/>
      <w:sz w:val="22"/>
      <w:u w:val="single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 w:cs="Arial"/>
      <w:sz w:val="22"/>
      <w:u w:val="single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semiHidden/>
    <w:rPr>
      <w:color w:val="0000FF"/>
      <w:u w:val="single"/>
    </w:rPr>
  </w:style>
  <w:style w:type="character" w:styleId="HiperlinkVisitado">
    <w:name w:val="FollowedHyperlink"/>
    <w:basedOn w:val="Fontepargpadro"/>
    <w:semiHidden/>
    <w:rPr>
      <w:color w:val="800080"/>
      <w:u w:val="single"/>
    </w:rPr>
  </w:style>
  <w:style w:type="paragraph" w:styleId="Corpodetexto">
    <w:name w:val="Body Text"/>
    <w:basedOn w:val="Normal"/>
    <w:semiHidden/>
    <w:pPr>
      <w:jc w:val="both"/>
    </w:pPr>
    <w:rPr>
      <w:rFonts w:ascii="Arial" w:hAnsi="Arial" w:cs="Arial"/>
      <w:b/>
      <w:bCs/>
    </w:rPr>
  </w:style>
  <w:style w:type="paragraph" w:styleId="Corpodetexto2">
    <w:name w:val="Body Text 2"/>
    <w:basedOn w:val="Normal"/>
    <w:semiHidden/>
    <w:pPr>
      <w:jc w:val="both"/>
    </w:pPr>
    <w:rPr>
      <w:sz w:val="22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TOCOLO%20GMAB\PROTGMAB_DIGITAL(VERS&#195;O%201)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PROTGMAB_DIGITAL(VERSÃO 1).dot</Template>
  <TotalTime>0</TotalTime>
  <Pages>1</Pages>
  <Words>521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APRESENTAÇÃO DE DOCUMENTOS DIGITAIS PARA FORMAÇÃO DO PROTOCOLO GMAB</vt:lpstr>
    </vt:vector>
  </TitlesOfParts>
  <Company>Ministério da Fazenda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APRESENTAÇÃO DE DOCUMENTOS DIGITAIS PARA FORMAÇÃO DO PROTOCOLO GMAB</dc:title>
  <dc:subject/>
  <dc:creator>Usuario</dc:creator>
  <cp:keywords/>
  <dc:description/>
  <cp:lastModifiedBy>Usuario</cp:lastModifiedBy>
  <cp:revision>1</cp:revision>
  <cp:lastPrinted>2017-04-11T15:58:00Z</cp:lastPrinted>
  <dcterms:created xsi:type="dcterms:W3CDTF">2017-05-04T15:53:00Z</dcterms:created>
  <dcterms:modified xsi:type="dcterms:W3CDTF">2017-05-04T15:53:00Z</dcterms:modified>
</cp:coreProperties>
</file>